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3 Unit 1: Number sense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Developing number sense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Exploring number sense </w:t>
            </w:r>
          </w:p>
          <w:p w:rsidR="00000000" w:rsidDel="00000000" w:rsidP="00000000" w:rsidRDefault="00000000" w:rsidRPr="00000000" w14:paraId="00000008">
            <w:pPr>
              <w:widowControl w:val="0"/>
              <w:numPr>
                <w:ilvl w:val="0"/>
                <w:numId w:val="3"/>
              </w:numPr>
              <w:spacing w:line="240" w:lineRule="auto"/>
              <w:ind w:left="720" w:hanging="360"/>
              <w:rPr>
                <w:u w:val="none"/>
              </w:rPr>
            </w:pPr>
            <w:r w:rsidDel="00000000" w:rsidR="00000000" w:rsidRPr="00000000">
              <w:rPr>
                <w:rtl w:val="0"/>
              </w:rPr>
              <w:t xml:space="preserve">Derive new facts from known facts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The year starts with opportunities for pupils to show what they know about numbers and number facts. You should celebrate and explore their growing number sense which will be used to develop increased flexibility in calculating throughout this unit and beyond. Explore multiple representations of number and related facts that pupils are familiar with and use information gathered from these experiences to inform content of Maths Meetings, transitions and consolidation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3133725" cy="10795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3725" cy="10795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Understanding our number system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Explain that number names do not follow regular patterns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Say the value of each digit within 2-digit numbers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numbers within 100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To gain a greater understanding of our number system, pupils explore the language of numbers and the patterns within the digits. Pupils can then make connections between this and the value of digits in 2-digit numbers before applying their understanding of place value to ordering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81325" cy="153352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981325" cy="1533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Investigating and using number bonds </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number bonds to 20 </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number bonds up to 10 to calculate without regrouping </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number bonds up to 20 to calculate with regrouping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Using part-whole language and a variety of representations (including bar models) pupils explore number bonds to 20. Time should be dedicated to representing, understanding and becoming fluent with these facts as they underpin calculation strategies. When calculating in lessons, pupils should have opportunity to compare different strategies such as the “make ten” strategy with using the “number bonds to 20” thinking about which they think is more efficient.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857500" cy="1152525"/>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857500" cy="1152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addition and subtraction strategies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Round and adjust to add/subtract with near multiples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Round and adjust to add with near doubles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the difference by adding 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Lessons explore calculation strategies that pupils have been introduced to in previous years. The focus should be on discussing and reasoning about when each strategy might be used and which strategy might be the most efficient depending on the numbers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05000" cy="581025"/>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0" cy="581025"/>
                          </a:xfrm>
                          <a:prstGeom prst="rect"/>
                          <a:ln/>
                        </pic:spPr>
                      </pic:pic>
                    </a:graphicData>
                  </a:graphic>
                </wp:inline>
              </w:drawing>
            </w:r>
            <w:r w:rsidDel="00000000" w:rsidR="00000000" w:rsidRPr="00000000">
              <w:rPr/>
              <w:drawing>
                <wp:inline distB="114300" distT="114300" distL="114300" distR="114300">
                  <wp:extent cx="1543050" cy="1000125"/>
                  <wp:effectExtent b="0" l="0" r="0" t="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543050" cy="10001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Solving money problems </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money problems using mental calculating strategies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 context of money is used to apply the calculation strategies reviewed across this unit. This can be used as an opportunity to build bar models to represent problems before selecting efficient strategies.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62250" cy="1657350"/>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762250" cy="16573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3.png"/>
          <a:graphic>
            <a:graphicData uri="http://schemas.openxmlformats.org/drawingml/2006/picture">
              <pic:pic>
                <pic:nvPicPr>
                  <pic:cNvPr id="0" name="image3.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8">
    <w:pPr>
      <w:rPr/>
    </w:pPr>
    <w:r w:rsidDel="00000000" w:rsidR="00000000" w:rsidRPr="00000000">
      <w:rPr>
        <w:rtl w:val="0"/>
      </w:rPr>
      <w:t xml:space="preserve">Knowledge Organiser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