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4 Unit 5: Securing Multiplication Facts (1week)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05"/>
        <w:gridCol w:w="5145"/>
        <w:tblGridChange w:id="0">
          <w:tblGrid>
            <w:gridCol w:w="8805"/>
            <w:gridCol w:w="5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Key Objectives: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Representations: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patterns within and between multiplication tables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multiplication patterns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Predict and identify multiplication patterns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variety of models to explore relationships and patterns across multiplication tables pupils know, making connections within and between these multiplication tables.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12065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14859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86706" cy="1085087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06" cy="1085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Deepening understanding of multiples of seven and nine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Multiples of 9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Multiples of 7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 upon the models used to focus on the lesser known seven and nine times tables. Encourage pupils to create their own meaningful concrete, pictorial and abstract representations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1346200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13081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Smarden Primary School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8239125</wp:posOffset>
          </wp:positionH>
          <wp:positionV relativeFrom="paragraph">
            <wp:posOffset>-342899</wp:posOffset>
          </wp:positionV>
          <wp:extent cx="1171575" cy="1043987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7558" l="26562" r="25390" t="29533"/>
                  <a:stretch>
                    <a:fillRect/>
                  </a:stretch>
                </pic:blipFill>
                <pic:spPr>
                  <a:xfrm>
                    <a:off x="0" y="0"/>
                    <a:ext cx="1171575" cy="104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  <w:t xml:space="preserve">Knowledge Organiser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